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19">
        <w:rPr>
          <w:rFonts w:ascii="Times New Roman" w:hAnsi="Times New Roman" w:cs="Times New Roman"/>
          <w:b/>
          <w:sz w:val="24"/>
          <w:szCs w:val="24"/>
        </w:rPr>
        <w:t>СПЕЦИФИКАЦИЯ НА ИНТЕРФЕЙСИТЕ ЗА ДОСТЪП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Всички въпроси, произлизащи от тази специф</w:t>
      </w:r>
      <w:r w:rsidRPr="00C25019">
        <w:rPr>
          <w:rFonts w:ascii="Times New Roman" w:hAnsi="Times New Roman" w:cs="Times New Roman"/>
          <w:sz w:val="24"/>
          <w:szCs w:val="24"/>
        </w:rPr>
        <w:t>икация могат да бъдат отправяни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към: “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>Източна телекомуникационна компания</w:t>
      </w:r>
      <w:r w:rsidRPr="00C25019">
        <w:rPr>
          <w:rFonts w:ascii="Times New Roman" w:hAnsi="Times New Roman" w:cs="Times New Roman"/>
          <w:sz w:val="24"/>
          <w:szCs w:val="24"/>
        </w:rPr>
        <w:t xml:space="preserve">” 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25019">
        <w:rPr>
          <w:rFonts w:ascii="Times New Roman" w:hAnsi="Times New Roman" w:cs="Times New Roman"/>
          <w:sz w:val="24"/>
          <w:szCs w:val="24"/>
        </w:rPr>
        <w:t xml:space="preserve">АД, </w:t>
      </w:r>
      <w:r w:rsidRPr="00C25019">
        <w:rPr>
          <w:rFonts w:ascii="Times New Roman" w:hAnsi="Times New Roman" w:cs="Times New Roman"/>
          <w:sz w:val="24"/>
          <w:szCs w:val="24"/>
        </w:rPr>
        <w:t>Техническа дирекция</w:t>
      </w:r>
    </w:p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19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Настоящият документ се основава на съгл. чл.</w:t>
      </w:r>
      <w:r w:rsidRPr="00C25019">
        <w:rPr>
          <w:rFonts w:ascii="Times New Roman" w:hAnsi="Times New Roman" w:cs="Times New Roman"/>
          <w:sz w:val="24"/>
          <w:szCs w:val="24"/>
        </w:rPr>
        <w:t xml:space="preserve"> 4.1 и 7.2 от Директива 99/5/EC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Radio Equipment and Telecommunications Termi</w:t>
      </w:r>
      <w:r w:rsidRPr="00C25019">
        <w:rPr>
          <w:rFonts w:ascii="Times New Roman" w:hAnsi="Times New Roman" w:cs="Times New Roman"/>
          <w:sz w:val="24"/>
          <w:szCs w:val="24"/>
        </w:rPr>
        <w:t>nal Equipment Directive 99/5/EC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(R&amp;TTE Directive) и съдържа информация за ин</w:t>
      </w:r>
      <w:r w:rsidRPr="00C25019">
        <w:rPr>
          <w:rFonts w:ascii="Times New Roman" w:hAnsi="Times New Roman" w:cs="Times New Roman"/>
          <w:sz w:val="24"/>
          <w:szCs w:val="24"/>
        </w:rPr>
        <w:t>терфейсите за достъп до мрежата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на “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>Източна телекомуникационна компания</w:t>
      </w:r>
      <w:r w:rsidRPr="00C25019">
        <w:rPr>
          <w:rFonts w:ascii="Times New Roman" w:hAnsi="Times New Roman" w:cs="Times New Roman"/>
          <w:sz w:val="24"/>
          <w:szCs w:val="24"/>
        </w:rPr>
        <w:t xml:space="preserve">” 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25019">
        <w:rPr>
          <w:rFonts w:ascii="Times New Roman" w:hAnsi="Times New Roman" w:cs="Times New Roman"/>
          <w:sz w:val="24"/>
          <w:szCs w:val="24"/>
        </w:rPr>
        <w:t>АД</w:t>
      </w:r>
      <w:r w:rsidRPr="00C25019">
        <w:rPr>
          <w:rFonts w:ascii="Times New Roman" w:hAnsi="Times New Roman" w:cs="Times New Roman"/>
          <w:sz w:val="24"/>
          <w:szCs w:val="24"/>
        </w:rPr>
        <w:t xml:space="preserve">. Той </w:t>
      </w:r>
      <w:r w:rsidRPr="00C25019">
        <w:rPr>
          <w:rFonts w:ascii="Times New Roman" w:hAnsi="Times New Roman" w:cs="Times New Roman"/>
          <w:sz w:val="24"/>
          <w:szCs w:val="24"/>
        </w:rPr>
        <w:t>отчита изискваният</w:t>
      </w:r>
      <w:r w:rsidRPr="00C25019">
        <w:rPr>
          <w:rFonts w:ascii="Times New Roman" w:hAnsi="Times New Roman" w:cs="Times New Roman"/>
          <w:sz w:val="24"/>
          <w:szCs w:val="24"/>
        </w:rPr>
        <w:t>а на Комисията за регулиране на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 xml:space="preserve">съобщенията за публикуване на технически </w:t>
      </w:r>
      <w:r w:rsidRPr="00C25019">
        <w:rPr>
          <w:rFonts w:ascii="Times New Roman" w:hAnsi="Times New Roman" w:cs="Times New Roman"/>
          <w:sz w:val="24"/>
          <w:szCs w:val="24"/>
        </w:rPr>
        <w:t>спецификации на интерфейсите за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свързване на крайни устройства.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За нуждите на документа "интерфейс" предс</w:t>
      </w:r>
      <w:r w:rsidRPr="00C25019">
        <w:rPr>
          <w:rFonts w:ascii="Times New Roman" w:hAnsi="Times New Roman" w:cs="Times New Roman"/>
          <w:sz w:val="24"/>
          <w:szCs w:val="24"/>
        </w:rPr>
        <w:t>тавлява физическа или логическа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среда, позволяваща обмен на информация поср</w:t>
      </w:r>
      <w:r w:rsidRPr="00C25019">
        <w:rPr>
          <w:rFonts w:ascii="Times New Roman" w:hAnsi="Times New Roman" w:cs="Times New Roman"/>
          <w:sz w:val="24"/>
          <w:szCs w:val="24"/>
        </w:rPr>
        <w:t>едством електромагнитни сигнали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между две други среди, които иначе не биха могли да обменят тази информация.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Документът е разработен в съответствие с: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• ETSI EG 201 730­1, Publication of interface specific</w:t>
      </w:r>
      <w:r w:rsidRPr="00C25019">
        <w:rPr>
          <w:rFonts w:ascii="Times New Roman" w:hAnsi="Times New Roman" w:cs="Times New Roman"/>
          <w:sz w:val="24"/>
          <w:szCs w:val="24"/>
        </w:rPr>
        <w:t>ation under Directive 1999/5/EC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(R&amp;TTE); Guidelines for the publication of interface spec</w:t>
      </w:r>
      <w:r w:rsidRPr="00C25019">
        <w:rPr>
          <w:rFonts w:ascii="Times New Roman" w:hAnsi="Times New Roman" w:cs="Times New Roman"/>
          <w:sz w:val="24"/>
          <w:szCs w:val="24"/>
        </w:rPr>
        <w:t>ifications; Part 1: General and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common aspects.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• ETSI EG 201 730­4, Application of the Directive 1999/5/EC (R&amp;TTE), artic</w:t>
      </w:r>
      <w:r w:rsidRPr="00C25019">
        <w:rPr>
          <w:rFonts w:ascii="Times New Roman" w:hAnsi="Times New Roman" w:cs="Times New Roman"/>
          <w:sz w:val="24"/>
          <w:szCs w:val="24"/>
        </w:rPr>
        <w:t>le 4.2;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Guidelines for the publication of interface specification</w:t>
      </w:r>
      <w:r w:rsidRPr="00C25019">
        <w:rPr>
          <w:rFonts w:ascii="Times New Roman" w:hAnsi="Times New Roman" w:cs="Times New Roman"/>
          <w:sz w:val="24"/>
          <w:szCs w:val="24"/>
        </w:rPr>
        <w:t>s; Part 4: Broadband multimedia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cable network interfaces.</w:t>
      </w:r>
    </w:p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19">
        <w:rPr>
          <w:rFonts w:ascii="Times New Roman" w:hAnsi="Times New Roman" w:cs="Times New Roman"/>
          <w:b/>
          <w:sz w:val="24"/>
          <w:szCs w:val="24"/>
        </w:rPr>
        <w:t>ОПИСАНИЕ НА ИНТЕРФЕЙСИТЕ</w:t>
      </w:r>
    </w:p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19">
        <w:rPr>
          <w:rFonts w:ascii="Times New Roman" w:hAnsi="Times New Roman" w:cs="Times New Roman"/>
          <w:b/>
          <w:sz w:val="24"/>
          <w:szCs w:val="24"/>
        </w:rPr>
        <w:t>Физически характеристики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Демаркационна точка на мрежата: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• Когато “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>Източна телекомуникационна компания</w:t>
      </w:r>
      <w:r w:rsidRPr="00C25019">
        <w:rPr>
          <w:rFonts w:ascii="Times New Roman" w:hAnsi="Times New Roman" w:cs="Times New Roman"/>
          <w:sz w:val="24"/>
          <w:szCs w:val="24"/>
        </w:rPr>
        <w:t>” А</w:t>
      </w:r>
      <w:r w:rsidRPr="00C25019">
        <w:rPr>
          <w:rFonts w:ascii="Times New Roman" w:hAnsi="Times New Roman" w:cs="Times New Roman"/>
          <w:sz w:val="24"/>
          <w:szCs w:val="24"/>
        </w:rPr>
        <w:t xml:space="preserve">Д (Операторът) е предоставил на абоната/потребителя </w:t>
      </w:r>
      <w:r w:rsidRPr="00C25019">
        <w:rPr>
          <w:rFonts w:ascii="Times New Roman" w:hAnsi="Times New Roman" w:cs="Times New Roman"/>
          <w:sz w:val="24"/>
          <w:szCs w:val="24"/>
        </w:rPr>
        <w:t>оборудване, то се счита за демаркационна точка</w:t>
      </w:r>
      <w:r w:rsidRPr="00C25019">
        <w:rPr>
          <w:rFonts w:ascii="Times New Roman" w:hAnsi="Times New Roman" w:cs="Times New Roman"/>
          <w:sz w:val="24"/>
          <w:szCs w:val="24"/>
        </w:rPr>
        <w:t xml:space="preserve"> на мрежата. Ако предоставеното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 xml:space="preserve">оборудване е повече от един брой, всяко от тях </w:t>
      </w:r>
      <w:r w:rsidRPr="00C25019">
        <w:rPr>
          <w:rFonts w:ascii="Times New Roman" w:hAnsi="Times New Roman" w:cs="Times New Roman"/>
          <w:sz w:val="24"/>
          <w:szCs w:val="24"/>
        </w:rPr>
        <w:t>се явява демаркационна точка на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мрежата.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• Когато Операторът не е предоставил на або</w:t>
      </w:r>
      <w:r w:rsidRPr="00C25019">
        <w:rPr>
          <w:rFonts w:ascii="Times New Roman" w:hAnsi="Times New Roman" w:cs="Times New Roman"/>
          <w:sz w:val="24"/>
          <w:szCs w:val="24"/>
        </w:rPr>
        <w:t>ната/потребителя оборудване, за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демаркационна точка на мрежата се счита кр</w:t>
      </w:r>
      <w:r w:rsidRPr="00C25019">
        <w:rPr>
          <w:rFonts w:ascii="Times New Roman" w:hAnsi="Times New Roman" w:cs="Times New Roman"/>
          <w:sz w:val="24"/>
          <w:szCs w:val="24"/>
        </w:rPr>
        <w:t>аят на електронната съобщителна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мрежа, достигаща до помещението на абоната/потребителя.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Метод на свързване към мрежата: чрез физичес</w:t>
      </w:r>
      <w:r w:rsidRPr="00C25019">
        <w:rPr>
          <w:rFonts w:ascii="Times New Roman" w:hAnsi="Times New Roman" w:cs="Times New Roman"/>
          <w:sz w:val="24"/>
          <w:szCs w:val="24"/>
        </w:rPr>
        <w:t>ко прикачване на кабелна връзка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към демаркационната точка на мрежата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Описание на механичните връзки: съобразно типа на интерфейса (вж. по­долу).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Ограничение в броя на връзките: разрешава се свързване към мрежата </w:t>
      </w:r>
      <w:r w:rsidRPr="00C25019">
        <w:rPr>
          <w:rFonts w:ascii="Times New Roman" w:hAnsi="Times New Roman" w:cs="Times New Roman"/>
          <w:sz w:val="24"/>
          <w:szCs w:val="24"/>
        </w:rPr>
        <w:t>само на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толкова устройства, колкото физически интерфейса има в демаркационната точка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на мрежата.</w:t>
      </w:r>
    </w:p>
    <w:p w:rsidR="00D6062B" w:rsidRPr="00C25019" w:rsidRDefault="00D6062B" w:rsidP="00D6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19">
        <w:rPr>
          <w:rFonts w:ascii="Times New Roman" w:hAnsi="Times New Roman" w:cs="Times New Roman"/>
          <w:b/>
          <w:sz w:val="24"/>
          <w:szCs w:val="24"/>
        </w:rPr>
        <w:t>Електрически и оптични характеристики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 xml:space="preserve">Електрическо захранване през мрежата: </w:t>
      </w:r>
      <w:r w:rsidRPr="00C25019">
        <w:rPr>
          <w:rFonts w:ascii="Times New Roman" w:hAnsi="Times New Roman" w:cs="Times New Roman"/>
          <w:sz w:val="24"/>
          <w:szCs w:val="24"/>
        </w:rPr>
        <w:t>мрежата не предлага подаване на</w:t>
      </w:r>
      <w:r w:rsidRPr="00C250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5019">
        <w:rPr>
          <w:rFonts w:ascii="Times New Roman" w:hAnsi="Times New Roman" w:cs="Times New Roman"/>
          <w:sz w:val="24"/>
          <w:szCs w:val="24"/>
        </w:rPr>
        <w:t>електрическо захранване през себе си.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>Сигнализация: съобразно типа на интерфейса (вж. по­долу)</w:t>
      </w:r>
    </w:p>
    <w:p w:rsidR="00D6062B" w:rsidRPr="00C25019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Достъп до Интернет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Физически интерфейс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RJ45 TIA­‐568­‐B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Протокол на физическата свързаност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Ethernet IEEE 802.1u, IEEE 802.1z, IEEE 802.1q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Протокол на логическата свързаност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Internet Protocol, Dynamic Host Configuration Protocol</w:t>
            </w:r>
          </w:p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RFC 791, RFC 2132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Електромагнитна съвместимост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БДС EN 55022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Електромагнитна шумоустойчивост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БДС EN 50082­‐1</w:t>
            </w:r>
          </w:p>
        </w:tc>
      </w:tr>
      <w:tr w:rsidR="00D6062B" w:rsidRPr="00C25019" w:rsidTr="00D6062B"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</w:p>
        </w:tc>
        <w:tc>
          <w:tcPr>
            <w:tcW w:w="4675" w:type="dxa"/>
          </w:tcPr>
          <w:p w:rsidR="00D6062B" w:rsidRPr="00C25019" w:rsidRDefault="00D6062B" w:rsidP="00D6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9">
              <w:rPr>
                <w:rFonts w:ascii="Times New Roman" w:hAnsi="Times New Roman" w:cs="Times New Roman"/>
                <w:sz w:val="24"/>
                <w:szCs w:val="24"/>
              </w:rPr>
              <w:t>БДС EN 60950</w:t>
            </w:r>
          </w:p>
        </w:tc>
      </w:tr>
    </w:tbl>
    <w:p w:rsidR="00D6062B" w:rsidRDefault="00D6062B" w:rsidP="00D60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019" w:rsidRDefault="00C25019" w:rsidP="00D60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019" w:rsidRPr="00C25019" w:rsidRDefault="00C25019" w:rsidP="00C25019">
      <w:pPr>
        <w:jc w:val="both"/>
        <w:rPr>
          <w:rFonts w:ascii="Times New Roman" w:hAnsi="Times New Roman" w:cs="Times New Roman"/>
          <w:sz w:val="24"/>
          <w:szCs w:val="24"/>
        </w:rPr>
      </w:pPr>
      <w:r w:rsidRPr="00C25019">
        <w:rPr>
          <w:rFonts w:ascii="Times New Roman" w:hAnsi="Times New Roman" w:cs="Times New Roman"/>
          <w:sz w:val="24"/>
          <w:szCs w:val="24"/>
        </w:rPr>
        <w:t xml:space="preserve">Дата на последна актуализиция: </w:t>
      </w:r>
      <w:r>
        <w:rPr>
          <w:rFonts w:ascii="Times New Roman" w:hAnsi="Times New Roman" w:cs="Times New Roman"/>
          <w:sz w:val="24"/>
          <w:szCs w:val="24"/>
          <w:lang w:val="bg-BG"/>
        </w:rPr>
        <w:t>02.09.2014</w:t>
      </w:r>
      <w:bookmarkStart w:id="0" w:name="_GoBack"/>
      <w:bookmarkEnd w:id="0"/>
      <w:r w:rsidRPr="00C250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019" w:rsidRPr="00C25019" w:rsidRDefault="00C25019" w:rsidP="00D606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019" w:rsidRPr="00C2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2"/>
    <w:rsid w:val="006133B7"/>
    <w:rsid w:val="00847F22"/>
    <w:rsid w:val="00C25019"/>
    <w:rsid w:val="00C57CF8"/>
    <w:rsid w:val="00D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C2C2"/>
  <w15:chartTrackingRefBased/>
  <w15:docId w15:val="{4AE7ECB5-FFCE-4088-BFFD-84C722E4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2019-11-16T15:13:00Z</dcterms:created>
  <dcterms:modified xsi:type="dcterms:W3CDTF">2019-11-16T15:25:00Z</dcterms:modified>
</cp:coreProperties>
</file>